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A 2-4 week elective in Immigrant Health is available to residents. 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Residents see patients at one or two primary care sites serving large populations of immigrants and children of immigrants: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CHC Adams Morgan - </w:t>
      </w:r>
      <w:r>
        <w:rPr>
          <w:rFonts w:ascii="Trebuchet MS" w:hAnsi="Trebuchet MS"/>
          <w:color w:val="000000"/>
          <w:sz w:val="21"/>
          <w:szCs w:val="21"/>
        </w:rPr>
        <w:t>Preceptor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>Dr. Nathalie Quion</w:t>
        </w:r>
      </w:hyperlink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Community Clinic Takoma Park - </w:t>
      </w:r>
      <w:r>
        <w:rPr>
          <w:rFonts w:ascii="Trebuchet MS" w:hAnsi="Trebuchet MS"/>
          <w:color w:val="000000"/>
          <w:sz w:val="21"/>
          <w:szCs w:val="21"/>
        </w:rPr>
        <w:t>Preceptors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 xml:space="preserve">Dr. </w:t>
        </w:r>
        <w:proofErr w:type="spellStart"/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>Lanre</w:t>
        </w:r>
        <w:proofErr w:type="spellEnd"/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>Falusi</w:t>
        </w:r>
        <w:proofErr w:type="spellEnd"/>
      </w:hyperlink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and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 xml:space="preserve">Dr. Helene </w:t>
        </w:r>
        <w:proofErr w:type="spellStart"/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>Felman</w:t>
        </w:r>
        <w:proofErr w:type="spellEnd"/>
      </w:hyperlink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During this elective, residents can also work with a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medico-legal 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partnership</w:t>
      </w:r>
      <w:r>
        <w:rPr>
          <w:rFonts w:ascii="Trebuchet MS" w:hAnsi="Trebuchet MS"/>
          <w:color w:val="000000"/>
          <w:sz w:val="21"/>
          <w:szCs w:val="21"/>
        </w:rPr>
        <w:t>,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work with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>Community Health workers, health educators, and care coordinators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at the clinic sites, as well as with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>local community-based organizations.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Opportunities to work with the DC Department of Refugee Health are also available.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Residents will also complete an online, case-based curriculum during the elective.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Emphasis"/>
          <w:rFonts w:ascii="Trebuchet MS" w:hAnsi="Trebuchet MS"/>
          <w:color w:val="000000"/>
          <w:sz w:val="21"/>
          <w:szCs w:val="21"/>
        </w:rPr>
        <w:t>Language requirement: </w:t>
      </w:r>
      <w:r>
        <w:rPr>
          <w:rFonts w:ascii="Trebuchet MS" w:hAnsi="Trebuchet MS"/>
          <w:color w:val="000000"/>
          <w:sz w:val="21"/>
          <w:szCs w:val="21"/>
        </w:rPr>
        <w:t xml:space="preserve">No language requirement is needed to rotate at the Adams Morgan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site,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however to rotate at the Community Clinic site, residents must have </w:t>
      </w:r>
      <w:r>
        <w:rPr>
          <w:rStyle w:val="Emphasis"/>
          <w:rFonts w:ascii="Trebuchet MS" w:hAnsi="Trebuchet MS"/>
          <w:color w:val="000000"/>
          <w:sz w:val="21"/>
          <w:szCs w:val="21"/>
        </w:rPr>
        <w:t>at least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a basic understanding of conversational Spanish to understand encounters without translation.  Knowledge of Spanish language is also needed for some, but not all, community experiences affiliated with the Adams Morgan clinic.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This rotation can be tailored the individual resident's interests and needs.  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Emphasis"/>
          <w:rFonts w:ascii="Trebuchet MS" w:hAnsi="Trebuchet MS"/>
          <w:color w:val="000000"/>
          <w:sz w:val="21"/>
          <w:szCs w:val="21"/>
        </w:rPr>
        <w:t>Individualized Education Plans: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This rotation is a component of the Advocacy pathway as well as the Global Health pathway, but is open to any resident.</w:t>
      </w:r>
    </w:p>
    <w:p w:rsidR="0015176D" w:rsidRDefault="0015176D" w:rsidP="0015176D">
      <w:pPr>
        <w:pStyle w:val="NormalWeb"/>
        <w:shd w:val="clear" w:color="auto" w:fill="F7F7F7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Interested residents should contact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hyperlink r:id="rId8" w:history="1">
        <w:r>
          <w:rPr>
            <w:rStyle w:val="Hyperlink"/>
            <w:rFonts w:ascii="Trebuchet MS" w:hAnsi="Trebuchet MS"/>
            <w:color w:val="1D8AC3"/>
            <w:sz w:val="21"/>
            <w:szCs w:val="21"/>
            <w:u w:val="none"/>
          </w:rPr>
          <w:t>Dr. Nathalie Quion</w:t>
        </w:r>
        <w:r>
          <w:rPr>
            <w:rStyle w:val="apple-converted-space"/>
            <w:rFonts w:ascii="Trebuchet MS" w:hAnsi="Trebuchet MS"/>
            <w:color w:val="1D8AC3"/>
            <w:sz w:val="21"/>
            <w:szCs w:val="21"/>
          </w:rPr>
          <w:t> </w:t>
        </w:r>
      </w:hyperlink>
    </w:p>
    <w:p w:rsidR="00D25CA6" w:rsidRDefault="00D25CA6">
      <w:bookmarkStart w:id="0" w:name="_GoBack"/>
      <w:bookmarkEnd w:id="0"/>
    </w:p>
    <w:sectPr w:rsidR="00D2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D"/>
    <w:rsid w:val="0015176D"/>
    <w:rsid w:val="005B361D"/>
    <w:rsid w:val="008153BF"/>
    <w:rsid w:val="00D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6D"/>
    <w:rPr>
      <w:b/>
      <w:bCs/>
    </w:rPr>
  </w:style>
  <w:style w:type="character" w:customStyle="1" w:styleId="apple-converted-space">
    <w:name w:val="apple-converted-space"/>
    <w:basedOn w:val="DefaultParagraphFont"/>
    <w:rsid w:val="0015176D"/>
  </w:style>
  <w:style w:type="character" w:styleId="Hyperlink">
    <w:name w:val="Hyperlink"/>
    <w:basedOn w:val="DefaultParagraphFont"/>
    <w:uiPriority w:val="99"/>
    <w:semiHidden/>
    <w:unhideWhenUsed/>
    <w:rsid w:val="001517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1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6D"/>
    <w:rPr>
      <w:b/>
      <w:bCs/>
    </w:rPr>
  </w:style>
  <w:style w:type="character" w:customStyle="1" w:styleId="apple-converted-space">
    <w:name w:val="apple-converted-space"/>
    <w:basedOn w:val="DefaultParagraphFont"/>
    <w:rsid w:val="0015176D"/>
  </w:style>
  <w:style w:type="character" w:styleId="Hyperlink">
    <w:name w:val="Hyperlink"/>
    <w:basedOn w:val="DefaultParagraphFont"/>
    <w:uiPriority w:val="99"/>
    <w:semiHidden/>
    <w:unhideWhenUsed/>
    <w:rsid w:val="001517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1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uion@cn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Felman@CCIWE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re.Falusi@CCIWEB.org" TargetMode="External"/><Relationship Id="rId5" Type="http://schemas.openxmlformats.org/officeDocument/2006/relationships/hyperlink" Target="mailto:nquion@cnm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Melanie Anspacher</cp:lastModifiedBy>
  <cp:revision>3</cp:revision>
  <dcterms:created xsi:type="dcterms:W3CDTF">2017-02-01T15:48:00Z</dcterms:created>
  <dcterms:modified xsi:type="dcterms:W3CDTF">2017-02-01T15:48:00Z</dcterms:modified>
</cp:coreProperties>
</file>