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28D6" w:rsidRDefault="00EE28D6" w:rsidP="00EE28D6">
      <w:pPr>
        <w:jc w:val="center"/>
        <w:rPr>
          <w:b/>
        </w:rPr>
      </w:pPr>
      <w:r w:rsidRPr="00EE28D6">
        <w:rPr>
          <w:b/>
        </w:rPr>
        <w:t>Surgery Selective</w:t>
      </w:r>
    </w:p>
    <w:p w:rsidR="00000000" w:rsidRDefault="00795620"/>
    <w:p w:rsidR="00EE28D6" w:rsidRDefault="00EE28D6">
      <w:pPr>
        <w:rPr>
          <w:b/>
        </w:rPr>
      </w:pPr>
      <w:r>
        <w:rPr>
          <w:b/>
        </w:rPr>
        <w:t>Administrative Contact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Rotation Director</w:t>
      </w:r>
    </w:p>
    <w:p w:rsidR="00EE28D6" w:rsidRDefault="00EE28D6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Faisal </w:t>
      </w:r>
      <w:proofErr w:type="spellStart"/>
      <w:r>
        <w:t>Qureshi</w:t>
      </w:r>
      <w:proofErr w:type="spellEnd"/>
    </w:p>
    <w:p w:rsidR="00EE28D6" w:rsidRDefault="00EE28D6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fqureshi@cnmc.org</w:t>
      </w:r>
    </w:p>
    <w:p w:rsidR="00EE28D6" w:rsidRPr="00EE28D6" w:rsidRDefault="00EE28D6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 202-476-2151</w:t>
      </w:r>
    </w:p>
    <w:p w:rsidR="00000000" w:rsidRDefault="00795620"/>
    <w:p w:rsidR="00EE28D6" w:rsidRDefault="00EE28D6"/>
    <w:p w:rsidR="00EE28D6" w:rsidRPr="00497C0D" w:rsidRDefault="00EE28D6">
      <w:r>
        <w:rPr>
          <w:b/>
        </w:rPr>
        <w:t>Introduction:</w:t>
      </w:r>
      <w:r w:rsidR="00497C0D">
        <w:t xml:space="preserve">  The goal of the Surgery Selective is to provide pediatric residents exposure to pediatric surgery outpatient clinic</w:t>
      </w:r>
      <w:r w:rsidR="00795620">
        <w:t xml:space="preserve">.  Residents will learn how to differentiate normal and abnormal conditions and to determine which pathology requires surgical intervention.  </w:t>
      </w:r>
    </w:p>
    <w:p w:rsidR="00EE28D6" w:rsidRDefault="00EE28D6">
      <w:pPr>
        <w:rPr>
          <w:b/>
        </w:rPr>
      </w:pPr>
    </w:p>
    <w:p w:rsidR="00EE28D6" w:rsidRDefault="00EE28D6">
      <w:pPr>
        <w:rPr>
          <w:b/>
        </w:rPr>
      </w:pPr>
      <w:r>
        <w:rPr>
          <w:b/>
        </w:rPr>
        <w:t>Schedule:</w:t>
      </w:r>
    </w:p>
    <w:p w:rsidR="00EE28D6" w:rsidRDefault="00EE28D6">
      <w:pPr>
        <w:rPr>
          <w:b/>
        </w:rPr>
      </w:pPr>
    </w:p>
    <w:p w:rsidR="00EE28D6" w:rsidRDefault="00EE28D6">
      <w:pPr>
        <w:rPr>
          <w:b/>
        </w:rPr>
      </w:pPr>
      <w:r>
        <w:rPr>
          <w:b/>
        </w:rPr>
        <w:t>Roles and Responsibilities:</w:t>
      </w:r>
    </w:p>
    <w:p w:rsidR="00EE28D6" w:rsidRDefault="00EE28D6">
      <w:pPr>
        <w:rPr>
          <w:b/>
        </w:rPr>
      </w:pPr>
    </w:p>
    <w:p w:rsidR="00EE28D6" w:rsidRDefault="00EE28D6">
      <w:pPr>
        <w:rPr>
          <w:b/>
        </w:rPr>
      </w:pPr>
      <w:r>
        <w:rPr>
          <w:b/>
        </w:rPr>
        <w:t>Goals and Objectives:</w:t>
      </w:r>
    </w:p>
    <w:p w:rsidR="00000000" w:rsidRDefault="00EE28D6">
      <w:r>
        <w:t>Below are the general goals and objectives for the rotation.  The resident should tailor the goals and objectives based on personal goals and career trajectory.</w:t>
      </w:r>
    </w:p>
    <w:p w:rsidR="00000000" w:rsidRDefault="00795620"/>
    <w:tbl>
      <w:tblPr>
        <w:tblW w:w="112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42"/>
      </w:tblGrid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95620" w:rsidRDefault="00795620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Subspecialty Rotation: Surgery, Pediatric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95620" w:rsidRDefault="00795620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Primary Goals for this Rotation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620" w:rsidRDefault="007956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6.82 GOAL: Normal Vs. Abnormal (Surgery). Differentiate normal conditions from pathologic ones requiring surgical intervention. 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620" w:rsidRDefault="00795620">
            <w:pPr>
              <w:divId w:val="193766423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6.82.1 :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Counsel parents regarding the natural history of uncomplicated umbilical hernia.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620" w:rsidRDefault="00795620">
            <w:pPr>
              <w:divId w:val="1873957881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6.82.2 :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Distinguish inguinal hernia from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hydrocele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and describe when it is appropriate for the pediatrician to observe and follow, and when to refer for evaluation. 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620" w:rsidRDefault="00795620">
            <w:pPr>
              <w:divId w:val="399333661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6.82.3 :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Distinguish acute abdominal pain related to transient events like constipation, musculoskeletal pain or gastroenteritis from pain that is likely to come from a serious surgical condition.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620" w:rsidRDefault="00795620">
            <w:pPr>
              <w:divId w:val="84983483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6.82.4 : Interpret clinical and laboratory tests to identify conditions that require surgical intervention, including: </w:t>
            </w:r>
          </w:p>
          <w:p w:rsidR="00795620" w:rsidRDefault="00795620">
            <w:pPr>
              <w:numPr>
                <w:ilvl w:val="0"/>
                <w:numId w:val="1"/>
              </w:numPr>
              <w:spacing w:before="100" w:beforeAutospacing="1" w:after="100" w:afterAutospacing="1"/>
              <w:divId w:val="84983483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Blood studies (CBC, ESR, Electrolytes, BUN,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Creatinine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, LFTs, amylase, lipase)</w:t>
            </w:r>
          </w:p>
          <w:p w:rsidR="00795620" w:rsidRDefault="00795620">
            <w:pPr>
              <w:numPr>
                <w:ilvl w:val="0"/>
                <w:numId w:val="1"/>
              </w:numPr>
              <w:spacing w:before="100" w:beforeAutospacing="1" w:after="100" w:afterAutospacing="1"/>
              <w:divId w:val="84983483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Occult blood in gastric fluid and stool</w:t>
            </w:r>
          </w:p>
          <w:p w:rsidR="00795620" w:rsidRDefault="00795620">
            <w:pPr>
              <w:numPr>
                <w:ilvl w:val="0"/>
                <w:numId w:val="1"/>
              </w:numPr>
              <w:spacing w:before="100" w:beforeAutospacing="1" w:after="100" w:afterAutospacing="1"/>
              <w:divId w:val="84983483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Cultures (blood, stool, wound, urine, fluid from body cavities and abscesses)</w:t>
            </w:r>
          </w:p>
          <w:p w:rsidR="00795620" w:rsidRDefault="00795620">
            <w:pPr>
              <w:numPr>
                <w:ilvl w:val="0"/>
                <w:numId w:val="1"/>
              </w:numPr>
              <w:spacing w:before="100" w:beforeAutospacing="1" w:after="100" w:afterAutospacing="1"/>
              <w:divId w:val="84983483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Radiographic studies (KUB and upright abdominal films, barium enema, UGI and small bowel follow through)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620" w:rsidRDefault="007956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6.83 GOAL: Undifferentiated Signs and Symptoms (Surgery). Evaluate and appropriately treat or refer signs and symptoms that may require surgery.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620" w:rsidRDefault="00795620">
            <w:pPr>
              <w:divId w:val="252204268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6.83.1 : Create a strategy to determine if the following presenting signs and symptoms are caused by a surgical condition, provide initial evaluation or treatment, and refer appropriately:</w:t>
            </w:r>
          </w:p>
          <w:p w:rsidR="00795620" w:rsidRDefault="00795620">
            <w:pPr>
              <w:numPr>
                <w:ilvl w:val="0"/>
                <w:numId w:val="2"/>
              </w:numPr>
              <w:spacing w:before="100" w:beforeAutospacing="1" w:after="100" w:afterAutospacing="1"/>
              <w:divId w:val="252204268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Acute abdominal pain </w:t>
            </w:r>
          </w:p>
          <w:p w:rsidR="00795620" w:rsidRDefault="00795620">
            <w:pPr>
              <w:numPr>
                <w:ilvl w:val="0"/>
                <w:numId w:val="2"/>
              </w:numPr>
              <w:spacing w:before="100" w:beforeAutospacing="1" w:after="100" w:afterAutospacing="1"/>
              <w:divId w:val="252204268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Acute scrotum </w:t>
            </w:r>
          </w:p>
          <w:p w:rsidR="00795620" w:rsidRDefault="00795620">
            <w:pPr>
              <w:numPr>
                <w:ilvl w:val="0"/>
                <w:numId w:val="2"/>
              </w:numPr>
              <w:spacing w:before="100" w:beforeAutospacing="1" w:after="100" w:afterAutospacing="1"/>
              <w:divId w:val="252204268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Vomiting, especially bilious or bloody </w:t>
            </w:r>
          </w:p>
          <w:p w:rsidR="00795620" w:rsidRDefault="00795620">
            <w:pPr>
              <w:numPr>
                <w:ilvl w:val="0"/>
                <w:numId w:val="2"/>
              </w:numPr>
              <w:spacing w:before="100" w:beforeAutospacing="1" w:after="100" w:afterAutospacing="1"/>
              <w:divId w:val="252204268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Inguinal swelling or mass </w:t>
            </w:r>
          </w:p>
          <w:p w:rsidR="00795620" w:rsidRDefault="00795620">
            <w:pPr>
              <w:numPr>
                <w:ilvl w:val="0"/>
                <w:numId w:val="2"/>
              </w:numPr>
              <w:spacing w:before="100" w:beforeAutospacing="1" w:after="100" w:afterAutospacing="1"/>
              <w:divId w:val="252204268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Abdominal mass </w:t>
            </w:r>
          </w:p>
          <w:p w:rsidR="00795620" w:rsidRDefault="00795620">
            <w:pPr>
              <w:numPr>
                <w:ilvl w:val="0"/>
                <w:numId w:val="2"/>
              </w:numPr>
              <w:spacing w:before="100" w:beforeAutospacing="1" w:after="100" w:afterAutospacing="1"/>
              <w:divId w:val="252204268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Bloody stools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620" w:rsidRDefault="007956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6.84 GOAL: Common Conditions Not Referred (Surgery). Diagnose and manage common conditions that generally do not require surgical referral.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620" w:rsidRDefault="00795620">
            <w:pPr>
              <w:divId w:val="47252877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6.84.1 : Diagnose, manage, and counsel patients and parents about the following conditions that generally do not require surgical evaluation:</w:t>
            </w:r>
          </w:p>
          <w:p w:rsidR="00795620" w:rsidRDefault="00795620">
            <w:pPr>
              <w:numPr>
                <w:ilvl w:val="0"/>
                <w:numId w:val="3"/>
              </w:numPr>
              <w:spacing w:before="100" w:beforeAutospacing="1" w:after="100" w:afterAutospacing="1"/>
              <w:divId w:val="47252877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Umbilical hernia </w:t>
            </w:r>
          </w:p>
          <w:p w:rsidR="00795620" w:rsidRDefault="00795620">
            <w:pPr>
              <w:numPr>
                <w:ilvl w:val="0"/>
                <w:numId w:val="3"/>
              </w:numPr>
              <w:spacing w:before="100" w:beforeAutospacing="1" w:after="100" w:afterAutospacing="1"/>
              <w:divId w:val="47252877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Retractile testes </w:t>
            </w:r>
          </w:p>
          <w:p w:rsidR="00795620" w:rsidRDefault="00795620">
            <w:pPr>
              <w:numPr>
                <w:ilvl w:val="0"/>
                <w:numId w:val="3"/>
              </w:numPr>
              <w:spacing w:before="100" w:beforeAutospacing="1" w:after="100" w:afterAutospacing="1"/>
              <w:divId w:val="47252877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Resolving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hydrocele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3"/>
              </w:numPr>
              <w:spacing w:before="100" w:beforeAutospacing="1" w:after="100" w:afterAutospacing="1"/>
              <w:divId w:val="47252877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Transient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lymphadenopathy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3"/>
              </w:numPr>
              <w:spacing w:before="100" w:beforeAutospacing="1" w:after="100" w:afterAutospacing="1"/>
              <w:divId w:val="47252877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Minor lacerations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620" w:rsidRDefault="007956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6.85 GOAL: Conditions Generally Referred (Surgery). Diagnose, provide initial stabilization, and refer appropriately conditions that usually require surgical evaluation.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620" w:rsidRDefault="00795620">
            <w:pPr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6.85.1 : Recognize, stabilize and initiate management and surgical referral for the following conditions: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Intussusception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Tumor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Trauma (e.g., blunt abdominal trauma)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Burns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Failure to thrive or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gastroesophageal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reflux requiring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gastrostomy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tube or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Nissen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fundoplication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Central venous access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Atypical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mycobacterial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adenitis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Acute lymphadenitis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Prenatal diagnosis of surgical condition: Congenital diaphragmatic hernia,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Hirschsprung's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Atresia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stenosis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of gastrointestinal tract, CCAM (cystic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adenomatoid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malformation), abdominal wall defects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gastroschisis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omphalocele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), lymphatic malformations (cystic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hygroma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) of the neck, esophageal anomalies,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sacrococcygeal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teratomas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Caustic strictures of esophagus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Pleural effusion or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empyema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Hypertrophic pyloric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stenosis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Meconium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ileus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Meckel?s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diverticulum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Malrotation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volvulus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Ascites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Premature infant with short bowel syndrome following necrotizing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enterocolitis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Neck masses (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thyroglossal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duct cyst,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branchial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cleft cyst, cystic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hygromas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Anorectal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anomalies (imperforate anus)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Chest wall defects: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pectus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excavatum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carinatum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Intersex and ambiguous genitalia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Lymphangiomas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Dysphagia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achalasia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Abdominal mass: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Wilms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Tumor,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Neuroblastoma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Ovarian mass: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teratomas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etc.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GI bleeding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Intestinal obstruction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Undescended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testis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Ganglion cysts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Inflammatory bowel disease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Polyposis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syndromes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Appendicitis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Biliary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atresia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Gall bladder disease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Portal hypertension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Pancreatitis </w:t>
            </w:r>
          </w:p>
          <w:p w:rsidR="00795620" w:rsidRDefault="00795620">
            <w:pPr>
              <w:numPr>
                <w:ilvl w:val="0"/>
                <w:numId w:val="4"/>
              </w:numPr>
              <w:spacing w:before="100" w:beforeAutospacing="1" w:after="100" w:afterAutospacing="1"/>
              <w:divId w:val="12215930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Vascular anomalies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620" w:rsidRDefault="00795620">
            <w:pPr>
              <w:divId w:val="74549193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6.85.2 : Identify the role and general scope of practice of pediatric surgeons; recognize situations where children benefit from the skills of surgeons with specialized training in the care of infants and children; and work effectively with these professionals in the care of children's surgical conditions. 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620" w:rsidRDefault="0079562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6.86 GOAL: Pre-operative and Post-operative Evaluation (Surgery). Collaborate with surgeons in the pre-operative and post-operative evaluation and management of pediatric patients, differentiating between adult and pediatric surgeons. 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620" w:rsidRDefault="00795620">
            <w:pPr>
              <w:divId w:val="1779062526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6.86.1 :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Refer patients needing surgical intervention to the appropriate pediatric surgical subspecialist, if available in your locale.</w:t>
            </w:r>
          </w:p>
        </w:tc>
      </w:tr>
      <w:tr w:rsidR="00795620" w:rsidTr="00795620">
        <w:trPr>
          <w:trHeight w:val="1812"/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620" w:rsidRDefault="00795620">
            <w:pPr>
              <w:divId w:val="464156575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6.86.2 :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Evaluate patients pre-operatively to provide medical clearance for surgery. </w:t>
            </w:r>
          </w:p>
          <w:p w:rsidR="00795620" w:rsidRDefault="00795620">
            <w:pPr>
              <w:numPr>
                <w:ilvl w:val="0"/>
                <w:numId w:val="5"/>
              </w:numPr>
              <w:spacing w:before="100" w:beforeAutospacing="1" w:after="100" w:afterAutospacing="1"/>
              <w:divId w:val="464156575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Obtain history of prior surgery and anesthesia.</w:t>
            </w:r>
          </w:p>
          <w:p w:rsidR="00795620" w:rsidRDefault="00795620">
            <w:pPr>
              <w:numPr>
                <w:ilvl w:val="0"/>
                <w:numId w:val="5"/>
              </w:numPr>
              <w:spacing w:before="100" w:beforeAutospacing="1" w:after="100" w:afterAutospacing="1"/>
              <w:divId w:val="464156575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Identify bleeding tendencies.</w:t>
            </w:r>
          </w:p>
          <w:p w:rsidR="00795620" w:rsidRDefault="00795620">
            <w:pPr>
              <w:numPr>
                <w:ilvl w:val="0"/>
                <w:numId w:val="5"/>
              </w:numPr>
              <w:spacing w:before="100" w:beforeAutospacing="1" w:after="100" w:afterAutospacing="1"/>
              <w:divId w:val="464156575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Assess oral cavity for loose teeth if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endotracheal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intubation is anticipated.</w:t>
            </w:r>
          </w:p>
          <w:p w:rsidR="00795620" w:rsidRDefault="00795620">
            <w:pPr>
              <w:numPr>
                <w:ilvl w:val="0"/>
                <w:numId w:val="5"/>
              </w:numPr>
              <w:spacing w:before="100" w:beforeAutospacing="1" w:after="100" w:afterAutospacing="1"/>
              <w:divId w:val="464156575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Manage any chronic respiratory conditions (e.g., asthma) that may have an impact on surgery and recovery.</w:t>
            </w:r>
          </w:p>
        </w:tc>
      </w:tr>
      <w:tr w:rsidR="00795620" w:rsidTr="00795620">
        <w:trPr>
          <w:trHeight w:val="2676"/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620" w:rsidRDefault="00795620">
            <w:pPr>
              <w:divId w:val="1632250323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6.86.3 :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Participate in the post-operative follow-up of surgical patients.</w:t>
            </w:r>
          </w:p>
          <w:p w:rsidR="00795620" w:rsidRDefault="00795620">
            <w:pPr>
              <w:numPr>
                <w:ilvl w:val="0"/>
                <w:numId w:val="6"/>
              </w:numPr>
              <w:spacing w:before="100" w:beforeAutospacing="1" w:after="100" w:afterAutospacing="1"/>
              <w:divId w:val="163225032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Monitor fluid and electrolyte status. </w:t>
            </w:r>
          </w:p>
          <w:p w:rsidR="00795620" w:rsidRDefault="00795620">
            <w:pPr>
              <w:numPr>
                <w:ilvl w:val="0"/>
                <w:numId w:val="6"/>
              </w:numPr>
              <w:spacing w:before="100" w:beforeAutospacing="1" w:after="100" w:afterAutospacing="1"/>
              <w:divId w:val="163225032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Observe for fever and recognize different causes of fever and their appropriate evaluation.</w:t>
            </w:r>
          </w:p>
          <w:p w:rsidR="00795620" w:rsidRDefault="00795620">
            <w:pPr>
              <w:numPr>
                <w:ilvl w:val="0"/>
                <w:numId w:val="6"/>
              </w:numPr>
              <w:spacing w:before="100" w:beforeAutospacing="1" w:after="100" w:afterAutospacing="1"/>
              <w:divId w:val="163225032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Recognize and manage common post-operative complications (bleeding,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stridor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infections,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wound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dehiscence).</w:t>
            </w:r>
          </w:p>
          <w:p w:rsidR="00795620" w:rsidRDefault="00795620">
            <w:pPr>
              <w:numPr>
                <w:ilvl w:val="0"/>
                <w:numId w:val="6"/>
              </w:numPr>
              <w:spacing w:before="100" w:beforeAutospacing="1" w:after="100" w:afterAutospacing="1"/>
              <w:divId w:val="163225032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Manage post-operative pain.</w:t>
            </w:r>
          </w:p>
          <w:p w:rsidR="00795620" w:rsidRDefault="00795620">
            <w:pPr>
              <w:numPr>
                <w:ilvl w:val="0"/>
                <w:numId w:val="6"/>
              </w:numPr>
              <w:spacing w:before="100" w:beforeAutospacing="1" w:after="100" w:afterAutospacing="1"/>
              <w:divId w:val="163225032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Assess discharge and follow-up plans.</w:t>
            </w:r>
          </w:p>
          <w:p w:rsidR="00795620" w:rsidRDefault="00795620">
            <w:pPr>
              <w:numPr>
                <w:ilvl w:val="0"/>
                <w:numId w:val="6"/>
              </w:numPr>
              <w:spacing w:before="100" w:beforeAutospacing="1" w:after="100" w:afterAutospacing="1"/>
              <w:divId w:val="163225032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Recognize psychosocial stresses of surgery on families and anticipate potential barriers to adequate post-op care.</w:t>
            </w:r>
          </w:p>
        </w:tc>
      </w:tr>
      <w:tr w:rsidR="00795620" w:rsidTr="00795620">
        <w:trPr>
          <w:tblCellSpacing w:w="0" w:type="dxa"/>
        </w:trPr>
        <w:tc>
          <w:tcPr>
            <w:tcW w:w="1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95620" w:rsidRDefault="00795620" w:rsidP="00EE28D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Source</w:t>
            </w:r>
            <w:r>
              <w:rPr>
                <w:rFonts w:eastAsia="Times New Roman"/>
              </w:rPr>
              <w:br/>
              <w:t xml:space="preserve">Kittredge, D., Baldwin, C. D., Bar-on, M. E., Beach, P. S., </w:t>
            </w:r>
            <w:proofErr w:type="spellStart"/>
            <w:r>
              <w:rPr>
                <w:rFonts w:eastAsia="Times New Roman"/>
              </w:rPr>
              <w:t>Trimm</w:t>
            </w:r>
            <w:proofErr w:type="spellEnd"/>
            <w:r>
              <w:rPr>
                <w:rFonts w:eastAsia="Times New Roman"/>
              </w:rPr>
              <w:t xml:space="preserve">, R. F. (Eds.). (2004). APA Educational Guidelines for Pediatric Residency. Ambulatory Pediatric Association Website. Available online: www.ambpeds.org/egweb. [Accessed 06/27/2011]. Project to develop this website was funded by the Josiah Macy, Jr. Foundation 2002-2005. </w:t>
            </w:r>
          </w:p>
        </w:tc>
      </w:tr>
    </w:tbl>
    <w:p w:rsidR="00000000" w:rsidRDefault="00795620">
      <w:pPr>
        <w:rPr>
          <w:rFonts w:eastAsia="Times New Roman"/>
        </w:rPr>
      </w:pPr>
    </w:p>
    <w:p w:rsidR="00EE28D6" w:rsidRDefault="00EE28D6">
      <w:pPr>
        <w:rPr>
          <w:rFonts w:eastAsia="Times New Roman"/>
          <w:b/>
        </w:rPr>
      </w:pPr>
    </w:p>
    <w:p w:rsidR="00EE28D6" w:rsidRPr="00EE28D6" w:rsidRDefault="00EE28D6">
      <w:pPr>
        <w:rPr>
          <w:rFonts w:eastAsia="Times New Roman"/>
        </w:rPr>
      </w:pPr>
      <w:r>
        <w:rPr>
          <w:rFonts w:eastAsia="Times New Roman"/>
          <w:b/>
        </w:rPr>
        <w:t>Recommended Reading:</w:t>
      </w:r>
    </w:p>
    <w:sectPr w:rsidR="00EE28D6" w:rsidRPr="00EE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2CB"/>
    <w:multiLevelType w:val="multilevel"/>
    <w:tmpl w:val="5E00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D7C2D"/>
    <w:multiLevelType w:val="multilevel"/>
    <w:tmpl w:val="2224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D53DC"/>
    <w:multiLevelType w:val="multilevel"/>
    <w:tmpl w:val="AF2E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168C9"/>
    <w:multiLevelType w:val="multilevel"/>
    <w:tmpl w:val="7878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D6B1F"/>
    <w:multiLevelType w:val="multilevel"/>
    <w:tmpl w:val="A0FC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368B0"/>
    <w:multiLevelType w:val="multilevel"/>
    <w:tmpl w:val="E894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attachedTemplate r:id="rId1"/>
  <w:defaultTabStop w:val="720"/>
  <w:noPunctuationKerning/>
  <w:characterSpacingControl w:val="doNotCompress"/>
  <w:compat/>
  <w:rsids>
    <w:rsidRoot w:val="00EE28D6"/>
    <w:rsid w:val="00497C0D"/>
    <w:rsid w:val="00795620"/>
    <w:rsid w:val="00EE28D6"/>
    <w:rsid w:val="00FE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42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6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57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7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93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3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08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32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5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88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3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3</cp:revision>
  <dcterms:created xsi:type="dcterms:W3CDTF">2011-06-28T00:35:00Z</dcterms:created>
  <dcterms:modified xsi:type="dcterms:W3CDTF">2011-06-28T00:54:00Z</dcterms:modified>
</cp:coreProperties>
</file>