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FE78" w14:textId="77777777" w:rsidR="00122EDE" w:rsidRDefault="00122EDE" w:rsidP="00122EDE">
      <w:pPr>
        <w:pStyle w:val="Default"/>
        <w:rPr>
          <w:b/>
          <w:bCs/>
          <w:color w:val="00AFEF"/>
          <w:sz w:val="22"/>
          <w:szCs w:val="22"/>
        </w:rPr>
      </w:pPr>
      <w:bookmarkStart w:id="0" w:name="_GoBack"/>
      <w:bookmarkEnd w:id="0"/>
    </w:p>
    <w:p w14:paraId="3E36069A" w14:textId="77777777" w:rsidR="00122EDE" w:rsidRPr="00122EDE" w:rsidRDefault="00122EDE" w:rsidP="00122EDE">
      <w:pPr>
        <w:pStyle w:val="Default"/>
        <w:jc w:val="center"/>
        <w:rPr>
          <w:color w:val="17365D" w:themeColor="text2" w:themeShade="BF"/>
          <w:sz w:val="22"/>
          <w:szCs w:val="22"/>
        </w:rPr>
      </w:pPr>
      <w:r w:rsidRPr="00122EDE">
        <w:rPr>
          <w:b/>
          <w:bCs/>
          <w:color w:val="17365D" w:themeColor="text2" w:themeShade="BF"/>
          <w:sz w:val="22"/>
          <w:szCs w:val="22"/>
        </w:rPr>
        <w:t>Child Health Advocacy and Public Policy (CHAPP) Pathway Overview</w:t>
      </w:r>
    </w:p>
    <w:p w14:paraId="39A826F3" w14:textId="77777777" w:rsidR="00122EDE" w:rsidRDefault="00122EDE" w:rsidP="00122EDE">
      <w:pPr>
        <w:pStyle w:val="Default"/>
        <w:rPr>
          <w:b/>
          <w:bCs/>
          <w:sz w:val="22"/>
          <w:szCs w:val="22"/>
        </w:rPr>
      </w:pPr>
    </w:p>
    <w:p w14:paraId="02EB0C6D" w14:textId="77777777" w:rsidR="00122EDE" w:rsidRDefault="00122EDE" w:rsidP="00122EDE">
      <w:pPr>
        <w:pStyle w:val="Default"/>
        <w:rPr>
          <w:b/>
          <w:bCs/>
          <w:sz w:val="22"/>
          <w:szCs w:val="22"/>
        </w:rPr>
      </w:pPr>
    </w:p>
    <w:p w14:paraId="0E486467" w14:textId="77777777" w:rsidR="00122EDE" w:rsidRDefault="00122EDE" w:rsidP="00122E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is the CHAPP Pathway? </w:t>
      </w:r>
    </w:p>
    <w:p w14:paraId="0A407CBE" w14:textId="77777777" w:rsidR="00122EDE" w:rsidRDefault="00122EDE" w:rsidP="00122E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CHAPP Pathway consists of a </w:t>
      </w:r>
      <w:r w:rsidR="00BE1851">
        <w:rPr>
          <w:sz w:val="22"/>
          <w:szCs w:val="22"/>
        </w:rPr>
        <w:t xml:space="preserve">variety </w:t>
      </w:r>
      <w:r>
        <w:rPr>
          <w:sz w:val="22"/>
          <w:szCs w:val="22"/>
        </w:rPr>
        <w:t xml:space="preserve">of optional activities aimed at </w:t>
      </w:r>
      <w:r w:rsidR="00BE1851">
        <w:rPr>
          <w:sz w:val="22"/>
          <w:szCs w:val="22"/>
        </w:rPr>
        <w:t>building residents skill and understanding around public policy and advocacy</w:t>
      </w:r>
      <w:r w:rsidR="00CB2068">
        <w:rPr>
          <w:sz w:val="22"/>
          <w:szCs w:val="22"/>
        </w:rPr>
        <w:t>,</w:t>
      </w:r>
      <w:r w:rsidR="00611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helping residents achieve goals </w:t>
      </w:r>
      <w:r w:rsidR="00BE1851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objectives specific to public policy and advocacy. </w:t>
      </w:r>
    </w:p>
    <w:p w14:paraId="66FE4DC7" w14:textId="77777777" w:rsidR="00122EDE" w:rsidRDefault="00122EDE" w:rsidP="00122EDE">
      <w:pPr>
        <w:pStyle w:val="Default"/>
        <w:rPr>
          <w:sz w:val="22"/>
          <w:szCs w:val="22"/>
        </w:rPr>
      </w:pPr>
    </w:p>
    <w:p w14:paraId="44FAB371" w14:textId="77777777" w:rsidR="00122EDE" w:rsidRDefault="00122EDE" w:rsidP="00122E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Who should consider the CHAPP Pathway? </w:t>
      </w:r>
    </w:p>
    <w:p w14:paraId="60C2E252" w14:textId="2DE19A99" w:rsidR="00122EDE" w:rsidRDefault="00CB2068" w:rsidP="00122E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Rising </w:t>
      </w:r>
      <w:r w:rsidR="00122EDE">
        <w:rPr>
          <w:sz w:val="22"/>
          <w:szCs w:val="22"/>
        </w:rPr>
        <w:t xml:space="preserve">PL 2 &amp; PL 3 residents should consider the CHAPP Pathway if </w:t>
      </w:r>
      <w:r w:rsidR="0012153D">
        <w:rPr>
          <w:sz w:val="22"/>
          <w:szCs w:val="22"/>
        </w:rPr>
        <w:t xml:space="preserve">you are </w:t>
      </w:r>
      <w:r w:rsidR="00122EDE">
        <w:rPr>
          <w:sz w:val="22"/>
          <w:szCs w:val="22"/>
        </w:rPr>
        <w:t xml:space="preserve">interested in gaining skills related to child health advocacy and public policy. </w:t>
      </w:r>
      <w:r w:rsidR="00122EDE" w:rsidRPr="00122EDE">
        <w:rPr>
          <w:bCs/>
          <w:i/>
          <w:sz w:val="22"/>
          <w:szCs w:val="22"/>
        </w:rPr>
        <w:t xml:space="preserve">Physicians of all specialties and in all practice types can integrate the principles of advocacy and public policy into their careers. </w:t>
      </w:r>
      <w:r w:rsidR="0097086B">
        <w:rPr>
          <w:bCs/>
          <w:i/>
          <w:sz w:val="22"/>
          <w:szCs w:val="22"/>
        </w:rPr>
        <w:t xml:space="preserve">The levels of participation are </w:t>
      </w:r>
      <w:r w:rsidR="006111B2">
        <w:rPr>
          <w:bCs/>
          <w:i/>
          <w:sz w:val="22"/>
          <w:szCs w:val="22"/>
        </w:rPr>
        <w:t>certificate recipient, and certificate with honors recipient. R</w:t>
      </w:r>
      <w:r w:rsidR="00122EDE" w:rsidRPr="00122EDE">
        <w:rPr>
          <w:bCs/>
          <w:i/>
          <w:sz w:val="22"/>
          <w:szCs w:val="22"/>
        </w:rPr>
        <w:t>esidents in any tra</w:t>
      </w:r>
      <w:r w:rsidR="00122EDE">
        <w:rPr>
          <w:bCs/>
          <w:i/>
          <w:sz w:val="22"/>
          <w:szCs w:val="22"/>
        </w:rPr>
        <w:t>ck can participate in a pathway!</w:t>
      </w:r>
      <w:r w:rsidR="00122EDE">
        <w:rPr>
          <w:b/>
          <w:bCs/>
          <w:sz w:val="22"/>
          <w:szCs w:val="22"/>
        </w:rPr>
        <w:t xml:space="preserve"> </w:t>
      </w:r>
      <w:r w:rsidR="00122EDE">
        <w:rPr>
          <w:sz w:val="22"/>
          <w:szCs w:val="22"/>
        </w:rPr>
        <w:t xml:space="preserve">Residents in the Community Health Track will complete some rotations that can be counted towards the CHAPP Pathway as a part of their CHT </w:t>
      </w:r>
      <w:r w:rsidR="006111B2">
        <w:rPr>
          <w:sz w:val="22"/>
          <w:szCs w:val="22"/>
        </w:rPr>
        <w:t>requirements; however,</w:t>
      </w:r>
      <w:r w:rsidR="00122EDE">
        <w:rPr>
          <w:sz w:val="22"/>
          <w:szCs w:val="22"/>
        </w:rPr>
        <w:t xml:space="preserve"> other supplemental educational experiences are available. </w:t>
      </w:r>
    </w:p>
    <w:p w14:paraId="2F714FB0" w14:textId="77777777" w:rsidR="00122EDE" w:rsidRDefault="00122EDE" w:rsidP="00122EDE">
      <w:pPr>
        <w:pStyle w:val="Default"/>
        <w:rPr>
          <w:sz w:val="22"/>
          <w:szCs w:val="22"/>
        </w:rPr>
      </w:pPr>
    </w:p>
    <w:p w14:paraId="290ADBFF" w14:textId="77777777" w:rsidR="00122EDE" w:rsidRDefault="00122EDE" w:rsidP="00122ED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does the CHAPP Pathway have to offer? </w:t>
      </w:r>
    </w:p>
    <w:p w14:paraId="20A67CF0" w14:textId="77777777" w:rsidR="00122EDE" w:rsidRDefault="00122EDE" w:rsidP="00122ED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The CHAPP Pathway has 3 main benefits.</w:t>
      </w:r>
    </w:p>
    <w:p w14:paraId="2E13B89D" w14:textId="77777777" w:rsidR="00122EDE" w:rsidRDefault="00122EDE" w:rsidP="00122EDE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2EDE" w14:paraId="0CAC262E" w14:textId="77777777" w:rsidTr="00122EDE">
        <w:tc>
          <w:tcPr>
            <w:tcW w:w="3192" w:type="dxa"/>
            <w:shd w:val="clear" w:color="auto" w:fill="BFBFBF" w:themeFill="background1" w:themeFillShade="BF"/>
          </w:tcPr>
          <w:p w14:paraId="459E2611" w14:textId="77777777" w:rsidR="00122EDE" w:rsidRPr="00122EDE" w:rsidRDefault="00122EDE" w:rsidP="00122EDE">
            <w:pPr>
              <w:pStyle w:val="Default"/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</w:p>
          <w:p w14:paraId="5F273B82" w14:textId="77777777" w:rsidR="00122EDE" w:rsidRPr="00122EDE" w:rsidRDefault="00122EDE" w:rsidP="00122EDE">
            <w:pPr>
              <w:pStyle w:val="Defaul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122EDE">
              <w:rPr>
                <w:b/>
                <w:bCs/>
                <w:color w:val="17365D" w:themeColor="text2" w:themeShade="BF"/>
                <w:sz w:val="22"/>
                <w:szCs w:val="22"/>
              </w:rPr>
              <w:t>Individualized Curriculum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7F22C230" w14:textId="77777777" w:rsidR="00122EDE" w:rsidRPr="00122EDE" w:rsidRDefault="00122EDE" w:rsidP="00122EDE">
            <w:pPr>
              <w:pStyle w:val="Default"/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</w:p>
          <w:p w14:paraId="7380B514" w14:textId="77777777" w:rsidR="00122EDE" w:rsidRPr="00122EDE" w:rsidRDefault="00122EDE" w:rsidP="00122EDE">
            <w:pPr>
              <w:pStyle w:val="Defaul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122EDE">
              <w:rPr>
                <w:b/>
                <w:bCs/>
                <w:color w:val="17365D" w:themeColor="text2" w:themeShade="BF"/>
                <w:sz w:val="22"/>
                <w:szCs w:val="22"/>
              </w:rPr>
              <w:t>Mentorship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2BAFB408" w14:textId="77777777" w:rsidR="00122EDE" w:rsidRPr="00122EDE" w:rsidRDefault="00122EDE" w:rsidP="00122EDE">
            <w:pPr>
              <w:pStyle w:val="Default"/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</w:p>
          <w:p w14:paraId="0E9A62D0" w14:textId="77777777" w:rsidR="00122EDE" w:rsidRPr="00122EDE" w:rsidRDefault="00CB2068" w:rsidP="00122EDE">
            <w:pPr>
              <w:pStyle w:val="Default"/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Community </w:t>
            </w:r>
            <w:r w:rsidR="006111B2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Partnership </w:t>
            </w: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Building</w:t>
            </w:r>
          </w:p>
          <w:p w14:paraId="53CD791D" w14:textId="77777777" w:rsidR="00122EDE" w:rsidRPr="00122EDE" w:rsidRDefault="00122EDE" w:rsidP="00122EDE">
            <w:pPr>
              <w:pStyle w:val="Default"/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122EDE" w14:paraId="778A6759" w14:textId="77777777" w:rsidTr="00122EDE">
        <w:tc>
          <w:tcPr>
            <w:tcW w:w="3192" w:type="dxa"/>
          </w:tcPr>
          <w:p w14:paraId="4341619E" w14:textId="77777777" w:rsidR="00122EDE" w:rsidRDefault="00122EDE" w:rsidP="00122EDE">
            <w:pPr>
              <w:pStyle w:val="Default"/>
              <w:rPr>
                <w:sz w:val="22"/>
                <w:szCs w:val="22"/>
              </w:rPr>
            </w:pPr>
          </w:p>
          <w:p w14:paraId="3E4AB900" w14:textId="77777777" w:rsidR="00122EDE" w:rsidRDefault="00122EDE" w:rsidP="00122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options for learning objectives specific to child health advocacy and public policy and suggests a variety of methods to achieve them including rotations and other non-clinical activities. You select activities based on your self-identified learning needs.</w:t>
            </w:r>
          </w:p>
          <w:p w14:paraId="53A7FD3B" w14:textId="77777777" w:rsidR="00122EDE" w:rsidRDefault="00122EDE" w:rsidP="00122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EAA9E2B" w14:textId="77777777" w:rsidR="00122EDE" w:rsidRDefault="00122EDE" w:rsidP="00122EDE">
            <w:pPr>
              <w:pStyle w:val="Default"/>
              <w:rPr>
                <w:sz w:val="22"/>
                <w:szCs w:val="22"/>
              </w:rPr>
            </w:pPr>
          </w:p>
          <w:p w14:paraId="2282BA61" w14:textId="77777777" w:rsidR="00122EDE" w:rsidRDefault="00122EDE" w:rsidP="00122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Pathway </w:t>
            </w:r>
            <w:r w:rsidR="00401C20">
              <w:rPr>
                <w:sz w:val="22"/>
                <w:szCs w:val="22"/>
              </w:rPr>
              <w:t>members</w:t>
            </w:r>
            <w:r>
              <w:rPr>
                <w:sz w:val="22"/>
                <w:szCs w:val="22"/>
              </w:rPr>
              <w:t xml:space="preserve"> will be paired with a CHAPP Pathway faculty member to guide them in the selection of their learning activities and help them to integrate concepts learned into their future careers.</w:t>
            </w:r>
          </w:p>
          <w:p w14:paraId="0C34DE4D" w14:textId="77777777" w:rsidR="00122EDE" w:rsidRDefault="00122EDE" w:rsidP="00122E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340F940" w14:textId="77777777" w:rsidR="00122EDE" w:rsidRDefault="00122EDE" w:rsidP="00122EDE">
            <w:pPr>
              <w:pStyle w:val="Default"/>
              <w:rPr>
                <w:sz w:val="22"/>
                <w:szCs w:val="22"/>
              </w:rPr>
            </w:pPr>
          </w:p>
          <w:p w14:paraId="4EA6FED1" w14:textId="77777777" w:rsidR="00122EDE" w:rsidRDefault="00122EDE" w:rsidP="00122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Participation in the CHAPP Pathway will help the resident develop relationships with external advocates and policy experts, and give them the skills to develop additional relationships </w:t>
            </w:r>
            <w:r w:rsidR="00CB2068">
              <w:rPr>
                <w:sz w:val="22"/>
                <w:szCs w:val="22"/>
              </w:rPr>
              <w:t xml:space="preserve">with individuals and organizations </w:t>
            </w:r>
            <w:r>
              <w:rPr>
                <w:sz w:val="22"/>
                <w:szCs w:val="22"/>
              </w:rPr>
              <w:t>in the future.</w:t>
            </w:r>
          </w:p>
        </w:tc>
      </w:tr>
    </w:tbl>
    <w:p w14:paraId="13ABAFDB" w14:textId="77777777" w:rsidR="00122EDE" w:rsidRDefault="00122EDE" w:rsidP="00122EDE">
      <w:pPr>
        <w:pStyle w:val="Default"/>
        <w:rPr>
          <w:sz w:val="22"/>
          <w:szCs w:val="22"/>
        </w:rPr>
      </w:pPr>
    </w:p>
    <w:p w14:paraId="3C86150A" w14:textId="77777777" w:rsidR="00122EDE" w:rsidRPr="00122EDE" w:rsidRDefault="00122EDE" w:rsidP="00122EDE">
      <w:pPr>
        <w:pStyle w:val="Default"/>
        <w:rPr>
          <w:b/>
          <w:sz w:val="22"/>
          <w:szCs w:val="22"/>
        </w:rPr>
      </w:pPr>
      <w:r w:rsidRPr="00122EDE">
        <w:rPr>
          <w:b/>
          <w:sz w:val="22"/>
          <w:szCs w:val="22"/>
        </w:rPr>
        <w:t xml:space="preserve">How can I participate? </w:t>
      </w:r>
    </w:p>
    <w:p w14:paraId="7EE1E81C" w14:textId="77777777" w:rsidR="00122EDE" w:rsidRDefault="00122EDE" w:rsidP="00122E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Pathway Director Danielle Dooley at </w:t>
      </w:r>
      <w:hyperlink r:id="rId8" w:history="1">
        <w:r w:rsidRPr="00A60DB1">
          <w:rPr>
            <w:rStyle w:val="Hyperlink"/>
            <w:sz w:val="22"/>
            <w:szCs w:val="22"/>
          </w:rPr>
          <w:t>dgdooley@childrensnational.org</w:t>
        </w:r>
      </w:hyperlink>
      <w:r>
        <w:rPr>
          <w:sz w:val="22"/>
          <w:szCs w:val="22"/>
        </w:rPr>
        <w:t xml:space="preserve"> </w:t>
      </w:r>
      <w:r w:rsidR="00401C20">
        <w:rPr>
          <w:sz w:val="22"/>
          <w:szCs w:val="22"/>
        </w:rPr>
        <w:t>and C</w:t>
      </w:r>
      <w:r w:rsidR="006111B2">
        <w:rPr>
          <w:sz w:val="22"/>
          <w:szCs w:val="22"/>
        </w:rPr>
        <w:t xml:space="preserve">o-director Alex Sims at </w:t>
      </w:r>
      <w:hyperlink r:id="rId9" w:history="1">
        <w:r w:rsidR="006111B2" w:rsidRPr="00B02556">
          <w:rPr>
            <w:rStyle w:val="Hyperlink"/>
            <w:sz w:val="22"/>
            <w:szCs w:val="22"/>
          </w:rPr>
          <w:t>amsims@childrensnational.org</w:t>
        </w:r>
      </w:hyperlink>
      <w:r w:rsidR="00611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sectPr w:rsidR="00122EDE" w:rsidSect="00122EDE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139CD" w14:textId="77777777" w:rsidR="00967B86" w:rsidRDefault="00967B86" w:rsidP="00401C20">
      <w:pPr>
        <w:spacing w:after="0" w:line="240" w:lineRule="auto"/>
      </w:pPr>
      <w:r>
        <w:separator/>
      </w:r>
    </w:p>
  </w:endnote>
  <w:endnote w:type="continuationSeparator" w:id="0">
    <w:p w14:paraId="1303CB66" w14:textId="77777777" w:rsidR="00967B86" w:rsidRDefault="00967B86" w:rsidP="004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77D7" w14:textId="4AAF35C3" w:rsidR="005B0B9D" w:rsidRDefault="005B0B9D" w:rsidP="005B0B9D">
    <w:pPr>
      <w:pStyle w:val="Footer"/>
      <w:jc w:val="right"/>
    </w:pPr>
    <w:r>
      <w:t>Last updated 8/1/17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56FEC" w14:textId="77777777" w:rsidR="00967B86" w:rsidRDefault="00967B86" w:rsidP="00401C20">
      <w:pPr>
        <w:spacing w:after="0" w:line="240" w:lineRule="auto"/>
      </w:pPr>
      <w:r>
        <w:separator/>
      </w:r>
    </w:p>
  </w:footnote>
  <w:footnote w:type="continuationSeparator" w:id="0">
    <w:p w14:paraId="403CAD41" w14:textId="77777777" w:rsidR="00967B86" w:rsidRDefault="00967B86" w:rsidP="00401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E"/>
    <w:rsid w:val="0011016E"/>
    <w:rsid w:val="0012153D"/>
    <w:rsid w:val="00122EDE"/>
    <w:rsid w:val="00193A63"/>
    <w:rsid w:val="001C005E"/>
    <w:rsid w:val="00401C20"/>
    <w:rsid w:val="005B0B9D"/>
    <w:rsid w:val="006111B2"/>
    <w:rsid w:val="008263ED"/>
    <w:rsid w:val="00967B86"/>
    <w:rsid w:val="0097086B"/>
    <w:rsid w:val="00B179AF"/>
    <w:rsid w:val="00BE1851"/>
    <w:rsid w:val="00CA4BDC"/>
    <w:rsid w:val="00CB2068"/>
    <w:rsid w:val="00F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F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E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20"/>
  </w:style>
  <w:style w:type="paragraph" w:styleId="Footer">
    <w:name w:val="footer"/>
    <w:basedOn w:val="Normal"/>
    <w:link w:val="FooterChar"/>
    <w:uiPriority w:val="99"/>
    <w:unhideWhenUsed/>
    <w:rsid w:val="0040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E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20"/>
  </w:style>
  <w:style w:type="paragraph" w:styleId="Footer">
    <w:name w:val="footer"/>
    <w:basedOn w:val="Normal"/>
    <w:link w:val="FooterChar"/>
    <w:uiPriority w:val="99"/>
    <w:unhideWhenUsed/>
    <w:rsid w:val="0040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dooley@childrensnationa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sims@childrens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E16F-E7AE-44DB-B775-27D3614A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Alexandra</dc:creator>
  <cp:lastModifiedBy>Waller, Allison</cp:lastModifiedBy>
  <cp:revision>2</cp:revision>
  <cp:lastPrinted>2017-01-04T13:37:00Z</cp:lastPrinted>
  <dcterms:created xsi:type="dcterms:W3CDTF">2018-12-05T20:19:00Z</dcterms:created>
  <dcterms:modified xsi:type="dcterms:W3CDTF">2018-12-05T20:19:00Z</dcterms:modified>
</cp:coreProperties>
</file>