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1" w:rsidRDefault="00CB0062" w:rsidP="00D9670E">
      <w:pPr>
        <w:jc w:val="center"/>
      </w:pPr>
      <w:r>
        <w:t>Management of Febrile Sickle Cell Patients</w:t>
      </w:r>
      <w:bookmarkStart w:id="0" w:name="_GoBack"/>
      <w:bookmarkEnd w:id="0"/>
    </w:p>
    <w:p w:rsidR="00EA0311" w:rsidRPr="006875D9" w:rsidRDefault="00EA0311" w:rsidP="00EA0311">
      <w:pPr>
        <w:rPr>
          <w:b/>
          <w:u w:val="single"/>
        </w:rPr>
      </w:pPr>
      <w:r w:rsidRPr="006875D9">
        <w:rPr>
          <w:b/>
          <w:u w:val="single"/>
        </w:rPr>
        <w:t>Proposal:</w:t>
      </w:r>
    </w:p>
    <w:p w:rsidR="00EA0311" w:rsidRDefault="00701785" w:rsidP="00EA0311">
      <w:pPr>
        <w:pStyle w:val="ListParagraph"/>
        <w:numPr>
          <w:ilvl w:val="0"/>
          <w:numId w:val="2"/>
        </w:numPr>
      </w:pPr>
      <w:r>
        <w:t xml:space="preserve">All well-appearing febrile </w:t>
      </w:r>
      <w:r w:rsidR="00963DBA">
        <w:t xml:space="preserve">(temperature of  </w:t>
      </w:r>
      <w:r w:rsidR="00963DBA">
        <w:rPr>
          <w:rFonts w:cstheme="minorHAnsi"/>
        </w:rPr>
        <w:t>≥</w:t>
      </w:r>
      <w:r w:rsidR="00963DBA">
        <w:t xml:space="preserve"> 101.5</w:t>
      </w:r>
      <w:r w:rsidR="00963DBA">
        <w:rPr>
          <w:rFonts w:cstheme="minorHAnsi"/>
        </w:rPr>
        <w:t xml:space="preserve">°F PO/rectal or 100.5°F AX) </w:t>
      </w:r>
      <w:r>
        <w:t>sickle cell patients will have an evaluation done which includes: CBC</w:t>
      </w:r>
      <w:r w:rsidR="006875D9">
        <w:t xml:space="preserve"> with diff</w:t>
      </w:r>
      <w:r>
        <w:t>, retic</w:t>
      </w:r>
      <w:r w:rsidR="002A6CA0">
        <w:t>ulocyte count, aerobic blood culture, and</w:t>
      </w:r>
      <w:r>
        <w:t xml:space="preserve"> urine</w:t>
      </w:r>
      <w:r w:rsidR="002A6CA0">
        <w:t xml:space="preserve"> culture (if appropriate)</w:t>
      </w:r>
    </w:p>
    <w:p w:rsidR="00701785" w:rsidRDefault="00701785" w:rsidP="00701785">
      <w:pPr>
        <w:pStyle w:val="ListParagraph"/>
        <w:numPr>
          <w:ilvl w:val="1"/>
          <w:numId w:val="2"/>
        </w:numPr>
      </w:pPr>
      <w:r>
        <w:t>CXR for those patients with cough, chest pain, or physical fi</w:t>
      </w:r>
      <w:r w:rsidR="00963DBA">
        <w:t>ndings suggestive of pneumonia</w:t>
      </w:r>
      <w:r w:rsidR="002A6CA0">
        <w:t>,</w:t>
      </w:r>
      <w:r>
        <w:t xml:space="preserve"> when </w:t>
      </w:r>
      <w:r w:rsidR="00EB6709">
        <w:t>breath sounds cannot be auscultated throughout lungs</w:t>
      </w:r>
      <w:r w:rsidR="002A6CA0">
        <w:t>, or less than 3 years of age</w:t>
      </w:r>
    </w:p>
    <w:p w:rsidR="00701785" w:rsidRDefault="00701785" w:rsidP="00EA0311">
      <w:pPr>
        <w:pStyle w:val="ListParagraph"/>
        <w:numPr>
          <w:ilvl w:val="0"/>
          <w:numId w:val="2"/>
        </w:numPr>
      </w:pPr>
      <w:r>
        <w:t>Following lab studies</w:t>
      </w:r>
      <w:r w:rsidR="006875D9">
        <w:t xml:space="preserve">, </w:t>
      </w:r>
      <w:r>
        <w:t xml:space="preserve"> patients will receive one dose of Ceftriaxone (75mg/kg) IV x1 as an outpatient</w:t>
      </w:r>
      <w:r w:rsidR="0096193B">
        <w:t xml:space="preserve"> (should attempt to be completed within 60 minutes of triage)</w:t>
      </w:r>
    </w:p>
    <w:p w:rsidR="00CA1D8D" w:rsidRDefault="00CA1D8D" w:rsidP="00EA0311">
      <w:pPr>
        <w:pStyle w:val="ListParagraph"/>
        <w:numPr>
          <w:ilvl w:val="0"/>
          <w:numId w:val="2"/>
        </w:numPr>
      </w:pPr>
      <w:r>
        <w:t>Criteria for discharge after one dose of antibiotics with phone follow-up next day:</w:t>
      </w:r>
      <w:r w:rsidR="00963DBA">
        <w:t xml:space="preserve"> (If not meeting below criteria or criteria for admission, must f/u in clinic for second dose of antibiotics)</w:t>
      </w:r>
    </w:p>
    <w:p w:rsidR="002B673A" w:rsidRDefault="002B673A" w:rsidP="002B673A">
      <w:pPr>
        <w:pStyle w:val="ListParagraph"/>
      </w:pPr>
    </w:p>
    <w:p w:rsidR="00CA1D8D" w:rsidRPr="002B673A" w:rsidRDefault="00CA1D8D" w:rsidP="00CA1D8D">
      <w:pPr>
        <w:pStyle w:val="ListParagraph"/>
        <w:numPr>
          <w:ilvl w:val="1"/>
          <w:numId w:val="2"/>
        </w:numPr>
        <w:rPr>
          <w:b/>
        </w:rPr>
      </w:pPr>
      <w:r w:rsidRPr="002B673A">
        <w:rPr>
          <w:b/>
        </w:rPr>
        <w:t xml:space="preserve">Clinical </w:t>
      </w:r>
      <w:r w:rsidRPr="002B673A">
        <w:rPr>
          <w:b/>
        </w:rPr>
        <w:sym w:font="Wingdings" w:char="F0E0"/>
      </w:r>
    </w:p>
    <w:p w:rsidR="00CA1D8D" w:rsidRDefault="00CA1D8D" w:rsidP="00CA1D8D">
      <w:pPr>
        <w:pStyle w:val="ListParagraph"/>
        <w:numPr>
          <w:ilvl w:val="2"/>
          <w:numId w:val="2"/>
        </w:numPr>
      </w:pPr>
      <w:r>
        <w:t>Well-appearing and tolerating PO</w:t>
      </w:r>
    </w:p>
    <w:p w:rsidR="00CA1D8D" w:rsidRDefault="00CA1D8D" w:rsidP="00CA1D8D">
      <w:pPr>
        <w:pStyle w:val="ListParagraph"/>
        <w:numPr>
          <w:ilvl w:val="2"/>
          <w:numId w:val="2"/>
        </w:numPr>
      </w:pPr>
      <w:r>
        <w:t xml:space="preserve">No concerns for splenic sequestration, acute chest syndrome, or </w:t>
      </w:r>
      <w:proofErr w:type="spellStart"/>
      <w:r>
        <w:t>vaso</w:t>
      </w:r>
      <w:proofErr w:type="spellEnd"/>
      <w:r>
        <w:t xml:space="preserve"> occlusive crisis requiring admission</w:t>
      </w:r>
    </w:p>
    <w:p w:rsidR="00963DBA" w:rsidRDefault="00963DBA" w:rsidP="00CA1D8D">
      <w:pPr>
        <w:pStyle w:val="ListParagraph"/>
        <w:numPr>
          <w:ilvl w:val="2"/>
          <w:numId w:val="2"/>
        </w:numPr>
      </w:pPr>
      <w:r>
        <w:t>No focal bone pain concerning for osteomyelitis</w:t>
      </w:r>
    </w:p>
    <w:p w:rsidR="00CA1D8D" w:rsidRDefault="00CA1D8D" w:rsidP="00CA1D8D">
      <w:pPr>
        <w:pStyle w:val="ListParagraph"/>
        <w:numPr>
          <w:ilvl w:val="2"/>
          <w:numId w:val="2"/>
        </w:numPr>
      </w:pPr>
      <w:r>
        <w:t>Stable on room air</w:t>
      </w:r>
    </w:p>
    <w:p w:rsidR="00CA1D8D" w:rsidRDefault="00CA1D8D" w:rsidP="00CA1D8D">
      <w:pPr>
        <w:pStyle w:val="ListParagraph"/>
        <w:numPr>
          <w:ilvl w:val="2"/>
          <w:numId w:val="2"/>
        </w:numPr>
      </w:pPr>
      <w:r>
        <w:t>&gt; 12 months of age</w:t>
      </w:r>
    </w:p>
    <w:p w:rsidR="00E21992" w:rsidRDefault="00E21992" w:rsidP="00CA1D8D">
      <w:pPr>
        <w:pStyle w:val="ListParagraph"/>
        <w:numPr>
          <w:ilvl w:val="2"/>
          <w:numId w:val="2"/>
        </w:numPr>
      </w:pPr>
      <w:r>
        <w:t>Temperature &lt; 40</w:t>
      </w:r>
      <w:r>
        <w:rPr>
          <w:rFonts w:cstheme="minorHAnsi"/>
        </w:rPr>
        <w:t>°</w:t>
      </w:r>
      <w:r>
        <w:t>C</w:t>
      </w:r>
    </w:p>
    <w:p w:rsidR="00BB1096" w:rsidRDefault="00BB1096" w:rsidP="00CA1D8D">
      <w:pPr>
        <w:pStyle w:val="ListParagraph"/>
        <w:numPr>
          <w:ilvl w:val="2"/>
          <w:numId w:val="2"/>
        </w:numPr>
      </w:pPr>
      <w:r>
        <w:t>No allergy to ceftriaxone</w:t>
      </w:r>
    </w:p>
    <w:p w:rsidR="00CA1D8D" w:rsidRDefault="00CA1D8D" w:rsidP="00CA1D8D">
      <w:pPr>
        <w:pStyle w:val="ListParagraph"/>
        <w:ind w:left="1440"/>
      </w:pPr>
    </w:p>
    <w:p w:rsidR="00CA1D8D" w:rsidRPr="002B673A" w:rsidRDefault="00CA1D8D" w:rsidP="00CA1D8D">
      <w:pPr>
        <w:pStyle w:val="ListParagraph"/>
        <w:numPr>
          <w:ilvl w:val="1"/>
          <w:numId w:val="2"/>
        </w:numPr>
        <w:rPr>
          <w:b/>
        </w:rPr>
      </w:pPr>
      <w:r w:rsidRPr="002B673A">
        <w:rPr>
          <w:b/>
        </w:rPr>
        <w:t xml:space="preserve">Labs/X-Ray </w:t>
      </w:r>
      <w:r w:rsidRPr="002B673A">
        <w:rPr>
          <w:b/>
        </w:rPr>
        <w:sym w:font="Wingdings" w:char="F0E0"/>
      </w:r>
    </w:p>
    <w:p w:rsidR="00CA1D8D" w:rsidRDefault="002B673A" w:rsidP="00CA1D8D">
      <w:pPr>
        <w:pStyle w:val="ListParagraph"/>
        <w:numPr>
          <w:ilvl w:val="2"/>
          <w:numId w:val="2"/>
        </w:numPr>
      </w:pPr>
      <w:proofErr w:type="spellStart"/>
      <w:r>
        <w:t>HgB</w:t>
      </w:r>
      <w:proofErr w:type="spellEnd"/>
      <w:r>
        <w:t xml:space="preserve"> &gt; </w:t>
      </w:r>
      <w:r w:rsidR="00CA1D8D">
        <w:t>5</w:t>
      </w:r>
      <w:r>
        <w:t xml:space="preserve"> </w:t>
      </w:r>
      <w:r w:rsidR="00963DBA">
        <w:t>g/</w:t>
      </w:r>
      <w:proofErr w:type="spellStart"/>
      <w:r w:rsidR="00963DBA">
        <w:t>dL</w:t>
      </w:r>
      <w:proofErr w:type="spellEnd"/>
      <w:r w:rsidR="00963DBA">
        <w:t xml:space="preserve"> and not le</w:t>
      </w:r>
      <w:r w:rsidR="00EB6709">
        <w:t>ss than 2g/</w:t>
      </w:r>
      <w:proofErr w:type="spellStart"/>
      <w:r w:rsidR="00EB6709">
        <w:t>dL</w:t>
      </w:r>
      <w:proofErr w:type="spellEnd"/>
      <w:r w:rsidR="00EB6709">
        <w:t xml:space="preserve"> below baseline</w:t>
      </w:r>
    </w:p>
    <w:p w:rsidR="00CA1D8D" w:rsidRDefault="002B673A" w:rsidP="00CA1D8D">
      <w:pPr>
        <w:pStyle w:val="ListParagraph"/>
        <w:numPr>
          <w:ilvl w:val="2"/>
          <w:numId w:val="2"/>
        </w:numPr>
      </w:pPr>
      <w:r>
        <w:t>WBC &lt;</w:t>
      </w:r>
      <w:r w:rsidR="00CA1D8D">
        <w:t xml:space="preserve"> 30 K</w:t>
      </w:r>
      <w:r w:rsidR="00963DBA">
        <w:t>/</w:t>
      </w:r>
      <w:proofErr w:type="spellStart"/>
      <w:r w:rsidR="00963DBA">
        <w:t>uL</w:t>
      </w:r>
      <w:proofErr w:type="spellEnd"/>
      <w:r w:rsidR="00963DBA">
        <w:t xml:space="preserve"> </w:t>
      </w:r>
      <w:r w:rsidR="002A6CA0">
        <w:t xml:space="preserve"> and </w:t>
      </w:r>
      <w:r w:rsidR="005254CD">
        <w:t xml:space="preserve"> &gt;5 K</w:t>
      </w:r>
      <w:r w:rsidR="00963DBA">
        <w:t>/</w:t>
      </w:r>
      <w:proofErr w:type="spellStart"/>
      <w:r w:rsidR="00963DBA">
        <w:t>uL</w:t>
      </w:r>
      <w:proofErr w:type="spellEnd"/>
    </w:p>
    <w:p w:rsidR="002B673A" w:rsidRDefault="00EB6709" w:rsidP="00CA1D8D">
      <w:pPr>
        <w:pStyle w:val="ListParagraph"/>
        <w:numPr>
          <w:ilvl w:val="2"/>
          <w:numId w:val="2"/>
        </w:numPr>
      </w:pPr>
      <w:r>
        <w:t>Reticul</w:t>
      </w:r>
      <w:r w:rsidR="002B673A">
        <w:t>ocyte count &gt; 1%</w:t>
      </w:r>
    </w:p>
    <w:p w:rsidR="002B673A" w:rsidRDefault="002B673A" w:rsidP="00CA1D8D">
      <w:pPr>
        <w:pStyle w:val="ListParagraph"/>
        <w:numPr>
          <w:ilvl w:val="2"/>
          <w:numId w:val="2"/>
        </w:numPr>
      </w:pPr>
      <w:r>
        <w:t>CXR</w:t>
      </w:r>
      <w:r w:rsidR="00E21992">
        <w:t xml:space="preserve"> (if obtained)</w:t>
      </w:r>
      <w:r>
        <w:t xml:space="preserve"> without</w:t>
      </w:r>
      <w:r w:rsidR="00EB6709">
        <w:t xml:space="preserve"> lobar</w:t>
      </w:r>
      <w:r>
        <w:t xml:space="preserve"> infiltrate</w:t>
      </w:r>
    </w:p>
    <w:p w:rsidR="002B673A" w:rsidRDefault="002B673A" w:rsidP="002B673A">
      <w:pPr>
        <w:pStyle w:val="ListParagraph"/>
        <w:ind w:left="2160"/>
      </w:pPr>
    </w:p>
    <w:p w:rsidR="00CA1D8D" w:rsidRDefault="00CA1D8D" w:rsidP="00CA1D8D">
      <w:pPr>
        <w:pStyle w:val="ListParagraph"/>
        <w:numPr>
          <w:ilvl w:val="1"/>
          <w:numId w:val="2"/>
        </w:numPr>
      </w:pPr>
      <w:r w:rsidRPr="002B673A">
        <w:rPr>
          <w:b/>
        </w:rPr>
        <w:t xml:space="preserve">Past Medical/Social History </w:t>
      </w:r>
      <w:r w:rsidR="00EB6709">
        <w:rPr>
          <w:b/>
        </w:rPr>
        <w:t xml:space="preserve">Negative for </w:t>
      </w:r>
      <w:r w:rsidR="00EB6709" w:rsidRPr="00EB6709">
        <w:rPr>
          <w:b/>
        </w:rPr>
        <w:sym w:font="Wingdings" w:char="F0E0"/>
      </w:r>
    </w:p>
    <w:p w:rsidR="002B673A" w:rsidRDefault="002B673A" w:rsidP="002B673A">
      <w:pPr>
        <w:pStyle w:val="ListParagraph"/>
        <w:numPr>
          <w:ilvl w:val="2"/>
          <w:numId w:val="2"/>
        </w:numPr>
      </w:pPr>
      <w:r>
        <w:t>Bacteremia/Sepsis</w:t>
      </w:r>
    </w:p>
    <w:p w:rsidR="002B673A" w:rsidRDefault="002B673A" w:rsidP="002B673A">
      <w:pPr>
        <w:pStyle w:val="ListParagraph"/>
        <w:numPr>
          <w:ilvl w:val="2"/>
          <w:numId w:val="2"/>
        </w:numPr>
      </w:pPr>
      <w:r>
        <w:t>Missing, delayed immunizations</w:t>
      </w:r>
      <w:r w:rsidR="00EB6709">
        <w:t xml:space="preserve"> (both </w:t>
      </w:r>
      <w:proofErr w:type="spellStart"/>
      <w:r w:rsidR="00EB6709">
        <w:t>Prevnar</w:t>
      </w:r>
      <w:proofErr w:type="spellEnd"/>
      <w:r w:rsidR="00EB6709">
        <w:t xml:space="preserve"> and </w:t>
      </w:r>
      <w:proofErr w:type="spellStart"/>
      <w:r w:rsidR="00EB6709">
        <w:t>Pneumovax</w:t>
      </w:r>
      <w:proofErr w:type="spellEnd"/>
      <w:r w:rsidR="00EB6709">
        <w:t>)</w:t>
      </w:r>
    </w:p>
    <w:p w:rsidR="00EB6709" w:rsidRDefault="00EB6709" w:rsidP="002B673A">
      <w:pPr>
        <w:pStyle w:val="ListParagraph"/>
        <w:numPr>
          <w:ilvl w:val="2"/>
          <w:numId w:val="2"/>
        </w:numPr>
      </w:pPr>
      <w:r>
        <w:t>Non-adherence with penicillin prophylaxis</w:t>
      </w:r>
    </w:p>
    <w:p w:rsidR="002B673A" w:rsidRDefault="002B673A" w:rsidP="002B673A">
      <w:pPr>
        <w:pStyle w:val="ListParagraph"/>
        <w:numPr>
          <w:ilvl w:val="2"/>
          <w:numId w:val="2"/>
        </w:numPr>
      </w:pPr>
      <w:r>
        <w:t>Possibility of non-</w:t>
      </w:r>
      <w:r w:rsidR="00EB6709">
        <w:t>adherence</w:t>
      </w:r>
      <w:r>
        <w:t xml:space="preserve"> with follow-up</w:t>
      </w:r>
    </w:p>
    <w:p w:rsidR="00BB1096" w:rsidRDefault="002B673A" w:rsidP="00BB1096">
      <w:pPr>
        <w:pStyle w:val="ListParagraph"/>
        <w:numPr>
          <w:ilvl w:val="3"/>
          <w:numId w:val="2"/>
        </w:numPr>
      </w:pPr>
      <w:r>
        <w:t>No phone</w:t>
      </w:r>
    </w:p>
    <w:p w:rsidR="00724D70" w:rsidRDefault="002B673A" w:rsidP="00724D70">
      <w:pPr>
        <w:pStyle w:val="ListParagraph"/>
        <w:numPr>
          <w:ilvl w:val="3"/>
          <w:numId w:val="2"/>
        </w:numPr>
      </w:pPr>
      <w:r>
        <w:t>Multiple missed appointments or no visit &gt; 1 year in outpatient clinic</w:t>
      </w:r>
    </w:p>
    <w:p w:rsidR="00724D70" w:rsidRDefault="00724D70" w:rsidP="00724D70">
      <w:pPr>
        <w:pStyle w:val="ListParagraph"/>
        <w:ind w:left="2880"/>
      </w:pPr>
    </w:p>
    <w:p w:rsidR="00724D70" w:rsidRDefault="00724D70" w:rsidP="00724D70">
      <w:r>
        <w:t>**If no phone and no transportation, patient should be admitted for rule out bacteremia</w:t>
      </w:r>
    </w:p>
    <w:p w:rsidR="00756095" w:rsidRDefault="00A43C07" w:rsidP="0096193B">
      <w:r>
        <w:lastRenderedPageBreak/>
        <w:t>**A working phone number should be obtained</w:t>
      </w:r>
      <w:r w:rsidR="00EB6709">
        <w:t xml:space="preserve"> directly from the family</w:t>
      </w:r>
      <w:r w:rsidR="00963DBA">
        <w:t xml:space="preserve"> and transmitted to the Hematology/Oncology Fellow </w:t>
      </w:r>
      <w:r>
        <w:t>prior to discharge</w:t>
      </w:r>
      <w:r w:rsidR="00963DBA">
        <w:t>.  The morning</w:t>
      </w:r>
      <w:r>
        <w:t xml:space="preserve"> sick NP for the following day will be responsible for checking blood cultures to ensure </w:t>
      </w:r>
      <w:r w:rsidR="00963DBA">
        <w:t xml:space="preserve">that </w:t>
      </w:r>
      <w:r>
        <w:t>they’re negative, calling the family, and providing appropriate education</w:t>
      </w:r>
      <w:r w:rsidR="00963DBA">
        <w:t>.  If the next day is a weekend or holiday, the short call Fellow will be responsible.</w:t>
      </w:r>
    </w:p>
    <w:p w:rsidR="00756095" w:rsidRDefault="00756095" w:rsidP="0096193B">
      <w:r>
        <w:t>**If after 3 attempts to reach the family and during a weekday, contact appropriate Social Worker for assistance</w:t>
      </w:r>
      <w:r w:rsidR="006E7DF7">
        <w:t>.  If still unable to contact family</w:t>
      </w:r>
      <w:r w:rsidR="006F1C3E">
        <w:t>,</w:t>
      </w:r>
      <w:r w:rsidR="006E7DF7">
        <w:t xml:space="preserve"> Social Worker will call non-emergency</w:t>
      </w:r>
      <w:r w:rsidR="00724D70">
        <w:t xml:space="preserve"> police</w:t>
      </w:r>
      <w:r w:rsidR="006E7DF7">
        <w:t xml:space="preserve"> line</w:t>
      </w:r>
      <w:r w:rsidR="00724D70">
        <w:t xml:space="preserve"> based on county of patient residence</w:t>
      </w:r>
      <w:r w:rsidR="004A1355">
        <w:t>.</w:t>
      </w:r>
    </w:p>
    <w:p w:rsidR="0096193B" w:rsidRDefault="0096193B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401F0D" w:rsidRDefault="00401F0D" w:rsidP="0096193B"/>
    <w:p w:rsidR="00CB0062" w:rsidRPr="006875D9" w:rsidRDefault="00CB0062" w:rsidP="00CB0062">
      <w:pPr>
        <w:rPr>
          <w:b/>
          <w:u w:val="single"/>
        </w:rPr>
      </w:pPr>
      <w:r w:rsidRPr="006875D9">
        <w:rPr>
          <w:b/>
          <w:u w:val="single"/>
        </w:rPr>
        <w:t>Literature:</w:t>
      </w:r>
    </w:p>
    <w:p w:rsidR="00CB0062" w:rsidRPr="002A6CA0" w:rsidRDefault="00CB0062" w:rsidP="00CB0062">
      <w:pPr>
        <w:pStyle w:val="ListParagraph"/>
        <w:numPr>
          <w:ilvl w:val="0"/>
          <w:numId w:val="1"/>
        </w:numPr>
        <w:rPr>
          <w:b/>
        </w:rPr>
      </w:pPr>
      <w:r w:rsidRPr="002A6CA0">
        <w:rPr>
          <w:b/>
        </w:rPr>
        <w:t>NHLBI Guidelines (2014)</w:t>
      </w:r>
    </w:p>
    <w:p w:rsidR="00CB0062" w:rsidRPr="002A6CA0" w:rsidRDefault="00CB0062" w:rsidP="00CB0062">
      <w:pPr>
        <w:pStyle w:val="ListParagraph"/>
        <w:numPr>
          <w:ilvl w:val="1"/>
          <w:numId w:val="1"/>
        </w:numPr>
      </w:pPr>
      <w:r w:rsidRPr="002A6CA0">
        <w:lastRenderedPageBreak/>
        <w:t xml:space="preserve">In children with SCD and a temperature ≥101.3 °F (38.5 °C), promptly administer ongoing empiric parenteral antibiotics that provide coverage against </w:t>
      </w:r>
      <w:r w:rsidRPr="002A6CA0">
        <w:rPr>
          <w:i/>
        </w:rPr>
        <w:t xml:space="preserve">Streptococcus </w:t>
      </w:r>
      <w:proofErr w:type="spellStart"/>
      <w:r w:rsidRPr="002A6CA0">
        <w:rPr>
          <w:i/>
        </w:rPr>
        <w:t>pneumoniae</w:t>
      </w:r>
      <w:proofErr w:type="spellEnd"/>
      <w:r w:rsidRPr="002A6CA0">
        <w:t xml:space="preserve"> and gram-negative enteric organisms.  Subsequent outpatient management using an oral antibiotic is feasible in people who do not appear ill.</w:t>
      </w:r>
    </w:p>
    <w:p w:rsidR="00CB0062" w:rsidRPr="002A6CA0" w:rsidRDefault="00CB0062" w:rsidP="00CB0062">
      <w:pPr>
        <w:pStyle w:val="ListParagraph"/>
        <w:numPr>
          <w:ilvl w:val="1"/>
          <w:numId w:val="1"/>
        </w:numPr>
      </w:pPr>
      <w:r w:rsidRPr="002A6CA0">
        <w:t>Hospitalize people with SCD and a temperature ≥103.1 °F (39.5 °C) and who appear ill for close observation and intravenous antibiotic therapy.</w:t>
      </w:r>
    </w:p>
    <w:p w:rsidR="00CB0062" w:rsidRPr="002A6CA0" w:rsidRDefault="00CB0062" w:rsidP="00CB0062">
      <w:pPr>
        <w:pStyle w:val="ListParagraph"/>
        <w:numPr>
          <w:ilvl w:val="1"/>
          <w:numId w:val="1"/>
        </w:numPr>
      </w:pPr>
      <w:r w:rsidRPr="002A6CA0">
        <w:t xml:space="preserve">In people with SCD whose febrile illness is accompanied by shortness of breath, tachypnea, cough, and/or </w:t>
      </w:r>
      <w:proofErr w:type="spellStart"/>
      <w:r w:rsidRPr="002A6CA0">
        <w:t>rales</w:t>
      </w:r>
      <w:proofErr w:type="spellEnd"/>
      <w:r w:rsidRPr="002A6CA0">
        <w:t>, manage according to the preceding recommendations and obtain an immediate chest x ray to investigate for ACS.</w:t>
      </w:r>
    </w:p>
    <w:p w:rsidR="00CB0062" w:rsidRPr="002A6CA0" w:rsidRDefault="00CB0062" w:rsidP="00CB0062">
      <w:pPr>
        <w:pStyle w:val="ListParagraph"/>
        <w:ind w:left="1440"/>
        <w:rPr>
          <w:b/>
        </w:rPr>
      </w:pPr>
    </w:p>
    <w:p w:rsidR="00CB0062" w:rsidRPr="002A6CA0" w:rsidRDefault="00CB0062" w:rsidP="00CB0062">
      <w:pPr>
        <w:pStyle w:val="ListParagraph"/>
        <w:numPr>
          <w:ilvl w:val="0"/>
          <w:numId w:val="1"/>
        </w:numPr>
      </w:pPr>
      <w:r w:rsidRPr="002A6CA0">
        <w:rPr>
          <w:b/>
        </w:rPr>
        <w:t xml:space="preserve">Baskin, </w:t>
      </w:r>
      <w:proofErr w:type="gramStart"/>
      <w:r w:rsidRPr="002A6CA0">
        <w:rPr>
          <w:b/>
        </w:rPr>
        <w:t>et</w:t>
      </w:r>
      <w:proofErr w:type="gramEnd"/>
      <w:r w:rsidRPr="002A6CA0">
        <w:rPr>
          <w:b/>
        </w:rPr>
        <w:t>. al., (2013)</w:t>
      </w:r>
    </w:p>
    <w:p w:rsidR="00CB0062" w:rsidRPr="002A6CA0" w:rsidRDefault="00CB0062" w:rsidP="00CB0062">
      <w:pPr>
        <w:pStyle w:val="ListParagraph"/>
        <w:numPr>
          <w:ilvl w:val="1"/>
          <w:numId w:val="1"/>
        </w:numPr>
      </w:pPr>
      <w:r w:rsidRPr="002A6CA0">
        <w:t>Retrospective chart review revealed rate of bacteremia among febrile children with SCD is much lower that previous estimat</w:t>
      </w:r>
      <w:r w:rsidR="0022571C" w:rsidRPr="002A6CA0">
        <w:t>e</w:t>
      </w:r>
      <w:r w:rsidRPr="002A6CA0">
        <w:t>s, and there was no associated morbidity or mortality among the patients managed as outpatients.</w:t>
      </w:r>
    </w:p>
    <w:p w:rsidR="00CB0062" w:rsidRPr="002A6CA0" w:rsidRDefault="00CB0062" w:rsidP="00CB0062">
      <w:pPr>
        <w:pStyle w:val="ListParagraph"/>
        <w:numPr>
          <w:ilvl w:val="1"/>
          <w:numId w:val="1"/>
        </w:numPr>
      </w:pPr>
      <w:r w:rsidRPr="002A6CA0">
        <w:t>Recommendation</w:t>
      </w:r>
      <w:r w:rsidRPr="002A6CA0">
        <w:sym w:font="Wingdings" w:char="F0E0"/>
      </w:r>
    </w:p>
    <w:p w:rsidR="005254CD" w:rsidRDefault="00CB0062" w:rsidP="00CB0062">
      <w:pPr>
        <w:pStyle w:val="ListParagraph"/>
        <w:numPr>
          <w:ilvl w:val="2"/>
          <w:numId w:val="1"/>
        </w:numPr>
      </w:pPr>
      <w:r>
        <w:t xml:space="preserve">A well-appearing febrile child with SCD may be managed as an outpatient </w:t>
      </w:r>
      <w:proofErr w:type="gramStart"/>
      <w:r>
        <w:t>after  a</w:t>
      </w:r>
      <w:proofErr w:type="gramEnd"/>
      <w:r>
        <w:t xml:space="preserve"> blood culture has been obtained, parenteral antibiotics were administered</w:t>
      </w:r>
      <w:r w:rsidR="000A4B8D">
        <w:t>, and if there are no reasons for admission, as well as the patient is able to return promptly if condition worsens or blood culture positive.</w:t>
      </w:r>
    </w:p>
    <w:p w:rsidR="005254CD" w:rsidRPr="00CB185B" w:rsidRDefault="005254CD" w:rsidP="005254CD">
      <w:pPr>
        <w:pStyle w:val="ListParagraph"/>
        <w:ind w:left="2160"/>
        <w:rPr>
          <w:b/>
        </w:rPr>
      </w:pPr>
    </w:p>
    <w:p w:rsidR="005254CD" w:rsidRPr="00CB185B" w:rsidRDefault="005254CD" w:rsidP="005254C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185B">
        <w:rPr>
          <w:b/>
        </w:rPr>
        <w:t>Bansil</w:t>
      </w:r>
      <w:proofErr w:type="spellEnd"/>
      <w:r w:rsidRPr="00CB185B">
        <w:rPr>
          <w:b/>
        </w:rPr>
        <w:t xml:space="preserve"> et al., (2013)</w:t>
      </w:r>
    </w:p>
    <w:p w:rsidR="005254CD" w:rsidRDefault="005254CD" w:rsidP="005254CD">
      <w:pPr>
        <w:pStyle w:val="ListParagraph"/>
        <w:numPr>
          <w:ilvl w:val="1"/>
          <w:numId w:val="1"/>
        </w:numPr>
      </w:pPr>
      <w:r>
        <w:t xml:space="preserve">Retrospective chart review of 188 patients presenting with </w:t>
      </w:r>
      <w:proofErr w:type="spellStart"/>
      <w:r>
        <w:t>hemoglobinopathies</w:t>
      </w:r>
      <w:proofErr w:type="spellEnd"/>
      <w:r>
        <w:t xml:space="preserve"> to a pediatric emergency department showed a low incidence of bacteremia (1.1 %) with no Streptococcus pneumonia isolates</w:t>
      </w:r>
    </w:p>
    <w:p w:rsidR="005254CD" w:rsidRDefault="005254CD" w:rsidP="005254CD">
      <w:pPr>
        <w:pStyle w:val="ListParagraph"/>
        <w:numPr>
          <w:ilvl w:val="1"/>
          <w:numId w:val="1"/>
        </w:numPr>
      </w:pPr>
      <w:r>
        <w:t xml:space="preserve">Recommendations </w:t>
      </w:r>
      <w:r>
        <w:sym w:font="Wingdings" w:char="F0E0"/>
      </w:r>
    </w:p>
    <w:p w:rsidR="005254CD" w:rsidRDefault="005254CD" w:rsidP="005254CD">
      <w:pPr>
        <w:pStyle w:val="ListParagraph"/>
        <w:numPr>
          <w:ilvl w:val="2"/>
          <w:numId w:val="1"/>
        </w:numPr>
      </w:pPr>
      <w:r>
        <w:t>Outpatient empiric antibiotics for children not suspected to have bacteremia is appropriate for children with SCD and fever</w:t>
      </w:r>
    </w:p>
    <w:p w:rsidR="005254CD" w:rsidRDefault="005254CD" w:rsidP="005254CD">
      <w:pPr>
        <w:pStyle w:val="ListParagraph"/>
        <w:ind w:left="2160"/>
      </w:pPr>
    </w:p>
    <w:p w:rsidR="005254CD" w:rsidRPr="00CB185B" w:rsidRDefault="005254CD" w:rsidP="005254C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185B">
        <w:rPr>
          <w:b/>
        </w:rPr>
        <w:t>Rogovik</w:t>
      </w:r>
      <w:proofErr w:type="spellEnd"/>
      <w:r w:rsidRPr="00CB185B">
        <w:rPr>
          <w:b/>
        </w:rPr>
        <w:t>, et al., (2010)</w:t>
      </w:r>
    </w:p>
    <w:p w:rsidR="005254CD" w:rsidRDefault="005254CD" w:rsidP="005254CD">
      <w:pPr>
        <w:pStyle w:val="ListParagraph"/>
        <w:numPr>
          <w:ilvl w:val="1"/>
          <w:numId w:val="1"/>
        </w:numPr>
      </w:pPr>
      <w:r>
        <w:t>Retrospective chart review of 692 patients in pediatric ED with SCD and fever showed no growth of Streptococcus pneumonia species</w:t>
      </w:r>
    </w:p>
    <w:p w:rsidR="00C56769" w:rsidRDefault="00C56769" w:rsidP="00C56769"/>
    <w:p w:rsidR="00C56769" w:rsidRPr="00CB185B" w:rsidRDefault="00C56769" w:rsidP="00C5676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185B">
        <w:rPr>
          <w:b/>
        </w:rPr>
        <w:t>Savlov</w:t>
      </w:r>
      <w:proofErr w:type="spellEnd"/>
      <w:r w:rsidRPr="00CB185B">
        <w:rPr>
          <w:b/>
        </w:rPr>
        <w:t>, et al., (2014)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 xml:space="preserve">Case-control study over 17 year period with SCD and fever at presentation looked at 40 cases of patients with SCD who had fever and a positive blood culture.  Patients with bacteremia were more likely to have an ANC &gt; 20 x 10^9/L, proportion of band cells, fever &gt; 39.5, and emesis at presentation.   In the patients with ANCs lower than the above number and bacteremia, these patients presented with </w:t>
      </w:r>
      <w:r>
        <w:rPr>
          <w:rFonts w:cstheme="minorHAnsi"/>
        </w:rPr>
        <w:t>≥</w:t>
      </w:r>
      <w:r>
        <w:t xml:space="preserve"> 1 of lethargy, irritability, and hypotension.</w:t>
      </w:r>
    </w:p>
    <w:p w:rsidR="00B400C6" w:rsidRDefault="00C56769" w:rsidP="00C56769">
      <w:pPr>
        <w:pStyle w:val="ListParagraph"/>
        <w:numPr>
          <w:ilvl w:val="1"/>
          <w:numId w:val="1"/>
        </w:numPr>
      </w:pPr>
      <w:r>
        <w:lastRenderedPageBreak/>
        <w:t>Cannot be used as a screening tool, although in combination with a thorough history and physical exam, this data can assist in ruling out possibility of bacteremia.</w:t>
      </w:r>
    </w:p>
    <w:p w:rsidR="00B400C6" w:rsidRDefault="00B400C6" w:rsidP="00C56769">
      <w:pPr>
        <w:pStyle w:val="ListParagraph"/>
        <w:numPr>
          <w:ilvl w:val="1"/>
          <w:numId w:val="1"/>
        </w:numPr>
      </w:pPr>
      <w:r>
        <w:t xml:space="preserve">Recommendations </w:t>
      </w:r>
      <w:r>
        <w:sym w:font="Wingdings" w:char="F0E0"/>
      </w:r>
    </w:p>
    <w:p w:rsidR="00E34251" w:rsidRDefault="00B400C6" w:rsidP="00B400C6">
      <w:pPr>
        <w:pStyle w:val="ListParagraph"/>
        <w:numPr>
          <w:ilvl w:val="2"/>
          <w:numId w:val="1"/>
        </w:numPr>
      </w:pPr>
      <w:r>
        <w:t>Patients who meet “low risk criteria” can be safely managed as outpatients</w:t>
      </w:r>
    </w:p>
    <w:p w:rsidR="00E34251" w:rsidRPr="00CB185B" w:rsidRDefault="00E34251" w:rsidP="00E34251">
      <w:pPr>
        <w:pStyle w:val="ListParagraph"/>
        <w:ind w:left="2160"/>
        <w:rPr>
          <w:b/>
        </w:rPr>
      </w:pPr>
    </w:p>
    <w:p w:rsidR="00E34251" w:rsidRPr="00CB185B" w:rsidRDefault="00E34251" w:rsidP="00E3425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185B">
        <w:rPr>
          <w:b/>
        </w:rPr>
        <w:t>Shihabuddin</w:t>
      </w:r>
      <w:proofErr w:type="spellEnd"/>
      <w:r w:rsidRPr="00CB185B">
        <w:rPr>
          <w:b/>
        </w:rPr>
        <w:t xml:space="preserve"> &amp; </w:t>
      </w:r>
      <w:proofErr w:type="spellStart"/>
      <w:r w:rsidRPr="00CB185B">
        <w:rPr>
          <w:b/>
        </w:rPr>
        <w:t>Scarfi</w:t>
      </w:r>
      <w:proofErr w:type="spellEnd"/>
      <w:r w:rsidRPr="00CB185B">
        <w:rPr>
          <w:b/>
        </w:rPr>
        <w:t>, (2014)</w:t>
      </w:r>
    </w:p>
    <w:p w:rsidR="00E34251" w:rsidRDefault="00E34251" w:rsidP="00E34251">
      <w:pPr>
        <w:pStyle w:val="ListParagraph"/>
        <w:numPr>
          <w:ilvl w:val="1"/>
          <w:numId w:val="1"/>
        </w:numPr>
      </w:pPr>
      <w:r>
        <w:t xml:space="preserve">Retrospective chart review over 10 years with SCD who presented with fever and had a blood culture performed.  Results showed the incidence of bacteremia in febrile SCD patients is low.  </w:t>
      </w:r>
    </w:p>
    <w:p w:rsidR="00E34251" w:rsidRDefault="00E34251" w:rsidP="00E34251">
      <w:pPr>
        <w:pStyle w:val="ListParagraph"/>
        <w:numPr>
          <w:ilvl w:val="1"/>
          <w:numId w:val="1"/>
        </w:numPr>
      </w:pPr>
      <w:r>
        <w:t>Overuse of antibiotics can result in bacterial resistance.</w:t>
      </w:r>
    </w:p>
    <w:p w:rsidR="00E34251" w:rsidRDefault="00E34251" w:rsidP="00E34251">
      <w:pPr>
        <w:pStyle w:val="ListParagraph"/>
        <w:numPr>
          <w:ilvl w:val="1"/>
          <w:numId w:val="1"/>
        </w:numPr>
      </w:pPr>
      <w:r>
        <w:t>All patients with positive blood cultures had been discharged home from the ED and followed up by phone call or in a clinical setting and those with repeat blood cultures all resulted negative.</w:t>
      </w:r>
    </w:p>
    <w:p w:rsidR="00E34251" w:rsidRDefault="00E34251" w:rsidP="00E34251">
      <w:pPr>
        <w:pStyle w:val="ListParagraph"/>
        <w:numPr>
          <w:ilvl w:val="1"/>
          <w:numId w:val="1"/>
        </w:numPr>
      </w:pPr>
      <w:r>
        <w:t xml:space="preserve">Recommendations </w:t>
      </w:r>
      <w:r>
        <w:sym w:font="Wingdings" w:char="F0E0"/>
      </w:r>
    </w:p>
    <w:p w:rsidR="00CB0062" w:rsidRDefault="00E34251" w:rsidP="00E34251">
      <w:pPr>
        <w:pStyle w:val="ListParagraph"/>
        <w:numPr>
          <w:ilvl w:val="2"/>
          <w:numId w:val="1"/>
        </w:numPr>
      </w:pPr>
      <w:r>
        <w:t>Close follow-up within 24 hours and delayed administration of antibiotics may be considered as an alternative treatment option.</w:t>
      </w:r>
      <w:r w:rsidR="00CB0062">
        <w:br/>
      </w:r>
    </w:p>
    <w:sectPr w:rsidR="00CB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EF"/>
    <w:multiLevelType w:val="hybridMultilevel"/>
    <w:tmpl w:val="F4DA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0FBD"/>
    <w:multiLevelType w:val="hybridMultilevel"/>
    <w:tmpl w:val="74BE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2"/>
    <w:rsid w:val="000A4B8D"/>
    <w:rsid w:val="0022571C"/>
    <w:rsid w:val="002A6CA0"/>
    <w:rsid w:val="002B673A"/>
    <w:rsid w:val="00401F0D"/>
    <w:rsid w:val="004A1355"/>
    <w:rsid w:val="005254CD"/>
    <w:rsid w:val="006875D9"/>
    <w:rsid w:val="006E7DF7"/>
    <w:rsid w:val="006F1C3E"/>
    <w:rsid w:val="00701785"/>
    <w:rsid w:val="00724D70"/>
    <w:rsid w:val="00756095"/>
    <w:rsid w:val="00851577"/>
    <w:rsid w:val="0096193B"/>
    <w:rsid w:val="0096332C"/>
    <w:rsid w:val="00963DBA"/>
    <w:rsid w:val="00A43C07"/>
    <w:rsid w:val="00B400C6"/>
    <w:rsid w:val="00BB1096"/>
    <w:rsid w:val="00C56769"/>
    <w:rsid w:val="00CA1D8D"/>
    <w:rsid w:val="00CB0062"/>
    <w:rsid w:val="00CB185B"/>
    <w:rsid w:val="00D9670E"/>
    <w:rsid w:val="00E21992"/>
    <w:rsid w:val="00E34251"/>
    <w:rsid w:val="00EA0311"/>
    <w:rsid w:val="00E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Rapport, Amy</dc:creator>
  <cp:lastModifiedBy>Chokshi, Binny</cp:lastModifiedBy>
  <cp:revision>2</cp:revision>
  <cp:lastPrinted>2015-02-04T16:14:00Z</cp:lastPrinted>
  <dcterms:created xsi:type="dcterms:W3CDTF">2015-05-29T17:46:00Z</dcterms:created>
  <dcterms:modified xsi:type="dcterms:W3CDTF">2015-05-29T17:46:00Z</dcterms:modified>
</cp:coreProperties>
</file>